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7EDC" w14:textId="77777777" w:rsidR="00CE6BBA" w:rsidRPr="007C7BCC" w:rsidRDefault="00CE6BBA" w:rsidP="00CE6BBA">
      <w:pPr>
        <w:rPr>
          <w:rFonts w:ascii="Century Gothic" w:hAnsi="Century Gothic"/>
          <w:b/>
          <w:sz w:val="20"/>
          <w:szCs w:val="20"/>
          <w:u w:val="single"/>
        </w:rPr>
      </w:pPr>
      <w:r w:rsidRPr="007C7BCC">
        <w:rPr>
          <w:rFonts w:ascii="Century Gothic" w:hAnsi="Century Gothic"/>
          <w:b/>
          <w:sz w:val="20"/>
          <w:szCs w:val="20"/>
          <w:u w:val="single"/>
        </w:rPr>
        <w:t>Local Rules</w:t>
      </w:r>
    </w:p>
    <w:p w14:paraId="0C6099B6" w14:textId="77777777" w:rsidR="00CE6BBA" w:rsidRPr="007C7BCC" w:rsidRDefault="00CE6BBA" w:rsidP="00CE6BBA">
      <w:pPr>
        <w:rPr>
          <w:rFonts w:ascii="Century Gothic" w:hAnsi="Century Gothic"/>
          <w:b/>
          <w:sz w:val="20"/>
          <w:szCs w:val="20"/>
          <w:u w:val="single"/>
        </w:rPr>
      </w:pPr>
      <w:r w:rsidRPr="007C7BCC">
        <w:rPr>
          <w:rFonts w:ascii="Century Gothic" w:hAnsi="Century Gothic"/>
          <w:b/>
          <w:sz w:val="20"/>
          <w:szCs w:val="20"/>
          <w:u w:val="single"/>
        </w:rPr>
        <w:t>Out of Bounds</w:t>
      </w:r>
    </w:p>
    <w:p w14:paraId="70F5A226" w14:textId="77777777" w:rsidR="00CE6BBA" w:rsidRPr="007C7BCC" w:rsidRDefault="00CE6BBA" w:rsidP="00CE6BB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Beyond any boundary fence</w:t>
      </w:r>
    </w:p>
    <w:p w14:paraId="1A5A6D24" w14:textId="77777777" w:rsidR="00CE6BBA" w:rsidRPr="007C7BCC" w:rsidRDefault="00CE6BBA" w:rsidP="00CE6BB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Car park</w:t>
      </w:r>
    </w:p>
    <w:p w14:paraId="1A19AFC2" w14:textId="77777777" w:rsidR="00CE6BBA" w:rsidRPr="007C7BCC" w:rsidRDefault="00CE6BBA" w:rsidP="00CE6BB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Inside garden walls of the cottage on the 7</w:t>
      </w:r>
      <w:r w:rsidRPr="007C7BCC">
        <w:rPr>
          <w:rFonts w:ascii="Century Gothic" w:hAnsi="Century Gothic"/>
          <w:sz w:val="20"/>
          <w:szCs w:val="20"/>
          <w:vertAlign w:val="superscript"/>
        </w:rPr>
        <w:t>th</w:t>
      </w:r>
    </w:p>
    <w:p w14:paraId="6678695C" w14:textId="77777777" w:rsidR="00CE6BBA" w:rsidRPr="007C7BCC" w:rsidRDefault="00CE6BBA" w:rsidP="00CE6BB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Beyond any line of white posts</w:t>
      </w:r>
    </w:p>
    <w:p w14:paraId="346EDDFE" w14:textId="77777777" w:rsidR="00CE6BBA" w:rsidRPr="007C7BCC" w:rsidRDefault="00CE6BBA" w:rsidP="00CE6BBA">
      <w:pPr>
        <w:rPr>
          <w:rFonts w:ascii="Century Gothic" w:hAnsi="Century Gothic"/>
          <w:b/>
          <w:sz w:val="20"/>
          <w:szCs w:val="20"/>
          <w:u w:val="single"/>
        </w:rPr>
      </w:pPr>
      <w:r w:rsidRPr="007C7BCC">
        <w:rPr>
          <w:rFonts w:ascii="Century Gothic" w:hAnsi="Century Gothic"/>
          <w:b/>
          <w:sz w:val="20"/>
          <w:szCs w:val="20"/>
          <w:u w:val="single"/>
        </w:rPr>
        <w:t>Integral Parts of the Course</w:t>
      </w:r>
    </w:p>
    <w:p w14:paraId="1C471E82" w14:textId="77777777" w:rsidR="00CE6BBA" w:rsidRPr="007C7BCC" w:rsidRDefault="00CE6BBA" w:rsidP="00CE6B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Pump house on 2</w:t>
      </w:r>
      <w:r w:rsidRPr="007C7BCC">
        <w:rPr>
          <w:rFonts w:ascii="Century Gothic" w:hAnsi="Century Gothic"/>
          <w:sz w:val="20"/>
          <w:szCs w:val="20"/>
          <w:vertAlign w:val="superscript"/>
        </w:rPr>
        <w:t>nd</w:t>
      </w:r>
    </w:p>
    <w:p w14:paraId="6F6A34C5" w14:textId="77777777" w:rsidR="00CE6BBA" w:rsidRPr="007C7BCC" w:rsidRDefault="00CE6BBA" w:rsidP="00CE6B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Coal shed and yard to the rear of 6</w:t>
      </w:r>
      <w:r w:rsidRPr="007C7BCC">
        <w:rPr>
          <w:rFonts w:ascii="Century Gothic" w:hAnsi="Century Gothic"/>
          <w:sz w:val="20"/>
          <w:szCs w:val="20"/>
          <w:vertAlign w:val="superscript"/>
        </w:rPr>
        <w:t>th</w:t>
      </w:r>
      <w:r w:rsidRPr="007C7BCC">
        <w:rPr>
          <w:rFonts w:ascii="Century Gothic" w:hAnsi="Century Gothic"/>
          <w:sz w:val="20"/>
          <w:szCs w:val="20"/>
        </w:rPr>
        <w:t xml:space="preserve"> green</w:t>
      </w:r>
    </w:p>
    <w:p w14:paraId="587757B6" w14:textId="77777777" w:rsidR="00CE6BBA" w:rsidRPr="007C7BCC" w:rsidRDefault="00CE6BBA" w:rsidP="00CE6B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All stone walls</w:t>
      </w:r>
    </w:p>
    <w:p w14:paraId="756CBB8D" w14:textId="77777777" w:rsidR="00CE6BBA" w:rsidRPr="007C7BCC" w:rsidRDefault="00CE6BBA" w:rsidP="00CE6B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The hedging adjacent to the fence by the 4th green.</w:t>
      </w:r>
    </w:p>
    <w:p w14:paraId="676419A4" w14:textId="77777777" w:rsidR="00CE6BBA" w:rsidRPr="007C7BCC" w:rsidRDefault="00CE6BBA" w:rsidP="00CE6BBA">
      <w:pPr>
        <w:pStyle w:val="ListParagraph"/>
        <w:rPr>
          <w:rFonts w:ascii="Century Gothic" w:hAnsi="Century Gothic"/>
          <w:b/>
          <w:sz w:val="20"/>
          <w:szCs w:val="20"/>
          <w:u w:val="single"/>
        </w:rPr>
      </w:pPr>
    </w:p>
    <w:p w14:paraId="06388784" w14:textId="77777777" w:rsidR="00CE6BBA" w:rsidRPr="007C7BCC" w:rsidRDefault="00CE6BBA" w:rsidP="00CE6BBA">
      <w:pPr>
        <w:rPr>
          <w:rFonts w:ascii="Century Gothic" w:hAnsi="Century Gothic"/>
          <w:b/>
          <w:sz w:val="20"/>
          <w:szCs w:val="20"/>
          <w:u w:val="single"/>
        </w:rPr>
      </w:pPr>
      <w:r w:rsidRPr="007C7BCC">
        <w:rPr>
          <w:rFonts w:ascii="Century Gothic" w:hAnsi="Century Gothic"/>
          <w:b/>
          <w:sz w:val="20"/>
          <w:szCs w:val="20"/>
          <w:u w:val="single"/>
        </w:rPr>
        <w:t>Penalty Areas/No Play Zones</w:t>
      </w:r>
    </w:p>
    <w:p w14:paraId="41B38BC0" w14:textId="77777777" w:rsidR="00CE6BBA" w:rsidRPr="007C7BCC" w:rsidRDefault="00CE6BBA" w:rsidP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 xml:space="preserve">Any areas marked by red stakes </w:t>
      </w:r>
      <w:r w:rsidR="00CA6775" w:rsidRPr="007C7BCC">
        <w:rPr>
          <w:rFonts w:ascii="Century Gothic" w:hAnsi="Century Gothic"/>
          <w:sz w:val="20"/>
          <w:szCs w:val="20"/>
        </w:rPr>
        <w:t xml:space="preserve">with green tops are no play </w:t>
      </w:r>
      <w:r w:rsidRPr="007C7BCC">
        <w:rPr>
          <w:rFonts w:ascii="Century Gothic" w:hAnsi="Century Gothic"/>
          <w:sz w:val="20"/>
          <w:szCs w:val="20"/>
        </w:rPr>
        <w:t>penalty zones</w:t>
      </w:r>
      <w:r w:rsidR="00CA6775" w:rsidRPr="007C7BCC">
        <w:rPr>
          <w:rFonts w:ascii="Century Gothic" w:hAnsi="Century Gothic"/>
          <w:sz w:val="20"/>
          <w:szCs w:val="20"/>
        </w:rPr>
        <w:t>.</w:t>
      </w:r>
      <w:r w:rsidRPr="007C7BCC">
        <w:rPr>
          <w:rFonts w:ascii="Century Gothic" w:hAnsi="Century Gothic"/>
          <w:sz w:val="20"/>
          <w:szCs w:val="20"/>
        </w:rPr>
        <w:t xml:space="preserve"> </w:t>
      </w:r>
      <w:r w:rsidR="00CA6775" w:rsidRPr="007C7BCC">
        <w:rPr>
          <w:rFonts w:ascii="Century Gothic" w:hAnsi="Century Gothic"/>
          <w:sz w:val="20"/>
          <w:szCs w:val="20"/>
        </w:rPr>
        <w:t>T</w:t>
      </w:r>
      <w:r w:rsidRPr="007C7BCC">
        <w:rPr>
          <w:rFonts w:ascii="Century Gothic" w:hAnsi="Century Gothic"/>
          <w:sz w:val="20"/>
          <w:szCs w:val="20"/>
        </w:rPr>
        <w:t xml:space="preserve">he ball must not be played as it lies </w:t>
      </w:r>
      <w:r w:rsidR="00FA592C" w:rsidRPr="007C7BCC">
        <w:rPr>
          <w:rFonts w:ascii="Century Gothic" w:hAnsi="Century Gothic"/>
          <w:sz w:val="20"/>
          <w:szCs w:val="20"/>
        </w:rPr>
        <w:t>and relief must be taken under R</w:t>
      </w:r>
      <w:r w:rsidRPr="007C7BCC">
        <w:rPr>
          <w:rFonts w:ascii="Century Gothic" w:hAnsi="Century Gothic"/>
          <w:sz w:val="20"/>
          <w:szCs w:val="20"/>
        </w:rPr>
        <w:t>ule 17.1d/17.1e</w:t>
      </w:r>
    </w:p>
    <w:p w14:paraId="20051274" w14:textId="77777777" w:rsidR="00CE6BBA" w:rsidRPr="007C7BCC" w:rsidRDefault="00CE6BBA" w:rsidP="00CE6BBA">
      <w:pPr>
        <w:rPr>
          <w:rFonts w:ascii="Century Gothic" w:hAnsi="Century Gothic"/>
          <w:sz w:val="20"/>
          <w:szCs w:val="20"/>
        </w:rPr>
      </w:pPr>
      <w:bookmarkStart w:id="0" w:name="_GoBack"/>
      <w:r w:rsidRPr="007C7BCC">
        <w:rPr>
          <w:rFonts w:ascii="Century Gothic" w:hAnsi="Century Gothic"/>
          <w:sz w:val="20"/>
          <w:szCs w:val="20"/>
        </w:rPr>
        <w:t>Any penalty area only defined on one side extends to infinity.</w:t>
      </w:r>
    </w:p>
    <w:bookmarkEnd w:id="0"/>
    <w:p w14:paraId="7DA1AD7A" w14:textId="77777777" w:rsidR="00FA592C" w:rsidRPr="007C7BCC" w:rsidRDefault="00FA592C" w:rsidP="00CE6BBA">
      <w:pPr>
        <w:rPr>
          <w:rFonts w:ascii="Century Gothic" w:hAnsi="Century Gothic"/>
          <w:b/>
          <w:sz w:val="20"/>
          <w:szCs w:val="20"/>
          <w:u w:val="single"/>
        </w:rPr>
      </w:pPr>
      <w:r w:rsidRPr="007C7BCC">
        <w:rPr>
          <w:rFonts w:ascii="Century Gothic" w:hAnsi="Century Gothic"/>
          <w:b/>
          <w:sz w:val="20"/>
          <w:szCs w:val="20"/>
          <w:u w:val="single"/>
        </w:rPr>
        <w:t>Protection of Young Trees</w:t>
      </w:r>
    </w:p>
    <w:p w14:paraId="3E890A25" w14:textId="77777777" w:rsidR="00FA592C" w:rsidRPr="007C7BCC" w:rsidRDefault="00FA592C" w:rsidP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The young trees identified by stakes are no play zones:</w:t>
      </w:r>
    </w:p>
    <w:p w14:paraId="2A570BC7" w14:textId="77777777" w:rsidR="00FA592C" w:rsidRPr="007C7BCC" w:rsidRDefault="00FA592C" w:rsidP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If a player’s ball lies anywhere on the course other than a penalty area and it lies on or touches such a tree or such a tree interferes with the player’s stance or area of intended swing, the player must take relief under Rule 16.1f.</w:t>
      </w:r>
    </w:p>
    <w:p w14:paraId="49C1AA4C" w14:textId="69DDDD9C" w:rsidR="00B1666D" w:rsidRPr="007C7BCC" w:rsidRDefault="00B1666D" w:rsidP="00CE6BBA">
      <w:pPr>
        <w:rPr>
          <w:rFonts w:ascii="Century Gothic" w:hAnsi="Century Gothic"/>
          <w:b/>
          <w:sz w:val="20"/>
          <w:szCs w:val="20"/>
          <w:u w:val="single"/>
        </w:rPr>
      </w:pPr>
      <w:r w:rsidRPr="007C7BCC">
        <w:rPr>
          <w:rFonts w:ascii="Century Gothic" w:hAnsi="Century Gothic"/>
          <w:b/>
          <w:sz w:val="20"/>
          <w:szCs w:val="20"/>
          <w:u w:val="single"/>
        </w:rPr>
        <w:t>Immovable Obstructions</w:t>
      </w:r>
    </w:p>
    <w:p w14:paraId="7F8B9F88" w14:textId="09C32849" w:rsidR="00B1666D" w:rsidRPr="007C7BCC" w:rsidRDefault="00B1666D" w:rsidP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The Cottage, Cottage Walls and Shed on 7</w:t>
      </w:r>
      <w:r w:rsidRPr="007C7BCC">
        <w:rPr>
          <w:rFonts w:ascii="Century Gothic" w:hAnsi="Century Gothic"/>
          <w:sz w:val="20"/>
          <w:szCs w:val="20"/>
          <w:vertAlign w:val="superscript"/>
        </w:rPr>
        <w:t>th</w:t>
      </w:r>
      <w:r w:rsidRPr="007C7BCC">
        <w:rPr>
          <w:rFonts w:ascii="Century Gothic" w:hAnsi="Century Gothic"/>
          <w:sz w:val="20"/>
          <w:szCs w:val="20"/>
        </w:rPr>
        <w:t>.</w:t>
      </w:r>
    </w:p>
    <w:p w14:paraId="307208D8" w14:textId="67858EC6" w:rsidR="00B1666D" w:rsidRPr="007C7BCC" w:rsidRDefault="00B1666D" w:rsidP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All signs on or adjacent to teeing areas.</w:t>
      </w:r>
    </w:p>
    <w:p w14:paraId="686B9F11" w14:textId="6999BBAC" w:rsidR="00CE6BBA" w:rsidRPr="007C7BCC" w:rsidRDefault="00CE6BBA" w:rsidP="00CE6BBA">
      <w:pPr>
        <w:rPr>
          <w:rFonts w:ascii="Century Gothic" w:hAnsi="Century Gothic"/>
          <w:b/>
          <w:sz w:val="20"/>
          <w:szCs w:val="20"/>
          <w:u w:val="single"/>
        </w:rPr>
      </w:pPr>
      <w:r w:rsidRPr="007C7BCC">
        <w:rPr>
          <w:rFonts w:ascii="Century Gothic" w:hAnsi="Century Gothic"/>
          <w:b/>
          <w:sz w:val="20"/>
          <w:szCs w:val="20"/>
          <w:u w:val="single"/>
        </w:rPr>
        <w:t>Immovable Obstructions near Putting Green</w:t>
      </w:r>
    </w:p>
    <w:p w14:paraId="03C23DD9" w14:textId="4B2DA1D8" w:rsidR="00CE6BBA" w:rsidRPr="007C7BCC" w:rsidRDefault="00CE6BBA" w:rsidP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 xml:space="preserve">Ball in General Area. The player may take relief under Rule 16.1b if an immovable obstruction is: </w:t>
      </w:r>
    </w:p>
    <w:p w14:paraId="4DCB6C2C" w14:textId="77777777" w:rsidR="00CE6BBA" w:rsidRPr="007C7BCC" w:rsidRDefault="00CE6BBA" w:rsidP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 xml:space="preserve">On the line of play, and is: </w:t>
      </w:r>
    </w:p>
    <w:p w14:paraId="1001B29F" w14:textId="5C3A0844" w:rsidR="00CE6BBA" w:rsidRPr="007C7BCC" w:rsidRDefault="00CE6BBA" w:rsidP="007C7BC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 xml:space="preserve">Within two club-lengths of the putting green, and </w:t>
      </w:r>
    </w:p>
    <w:p w14:paraId="2C2E410D" w14:textId="77777777" w:rsidR="00CE6BBA" w:rsidRPr="007C7BCC" w:rsidRDefault="00CE6BBA" w:rsidP="007C7BC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 xml:space="preserve">Within two club-lengths of the ball. </w:t>
      </w:r>
    </w:p>
    <w:p w14:paraId="0582478C" w14:textId="77777777" w:rsidR="00CE6BBA" w:rsidRPr="007C7BCC" w:rsidRDefault="00CE6BBA" w:rsidP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Exception - There is no relief under this Local Rule if the player chooses a line of play that is clearly unreasonable.</w:t>
      </w:r>
    </w:p>
    <w:p w14:paraId="71FF85B2" w14:textId="77777777" w:rsidR="00CE6BBA" w:rsidRPr="007C7BCC" w:rsidRDefault="00CE6BBA" w:rsidP="00CE6BBA">
      <w:pPr>
        <w:rPr>
          <w:rFonts w:ascii="Century Gothic" w:hAnsi="Century Gothic"/>
          <w:b/>
          <w:sz w:val="20"/>
          <w:szCs w:val="20"/>
          <w:u w:val="single"/>
        </w:rPr>
      </w:pPr>
      <w:r w:rsidRPr="007C7BCC">
        <w:rPr>
          <w:rFonts w:ascii="Century Gothic" w:hAnsi="Century Gothic"/>
          <w:b/>
          <w:sz w:val="20"/>
          <w:szCs w:val="20"/>
          <w:u w:val="single"/>
        </w:rPr>
        <w:t>Transportation</w:t>
      </w:r>
    </w:p>
    <w:p w14:paraId="3C8B8F6F" w14:textId="3733E08B" w:rsidR="00CE6BBA" w:rsidRPr="007C7BCC" w:rsidRDefault="00CE6BBA" w:rsidP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During a round, a player or caddie must not ride on any form of motorized transportation except as authorized or later approved by the Committee.</w:t>
      </w:r>
    </w:p>
    <w:p w14:paraId="510A5BAE" w14:textId="77777777" w:rsidR="00CE6BBA" w:rsidRPr="007C7BCC" w:rsidRDefault="00CE6BBA" w:rsidP="00CE6BBA">
      <w:pPr>
        <w:rPr>
          <w:rFonts w:ascii="Century Gothic" w:hAnsi="Century Gothic"/>
          <w:b/>
          <w:sz w:val="20"/>
          <w:szCs w:val="20"/>
          <w:u w:val="single"/>
        </w:rPr>
      </w:pPr>
      <w:r w:rsidRPr="007C7BCC">
        <w:rPr>
          <w:rFonts w:ascii="Century Gothic" w:hAnsi="Century Gothic"/>
          <w:b/>
          <w:sz w:val="20"/>
          <w:szCs w:val="20"/>
          <w:u w:val="single"/>
        </w:rPr>
        <w:t>PENALTY FOR BREACH OF LOCAL RULES:</w:t>
      </w:r>
    </w:p>
    <w:p w14:paraId="6DEA4B47" w14:textId="3AED2868" w:rsidR="008E6FF1" w:rsidRPr="007C7BCC" w:rsidRDefault="00CE6BBA">
      <w:pPr>
        <w:rPr>
          <w:rFonts w:ascii="Century Gothic" w:hAnsi="Century Gothic"/>
          <w:sz w:val="20"/>
          <w:szCs w:val="20"/>
        </w:rPr>
      </w:pPr>
      <w:r w:rsidRPr="007C7BCC">
        <w:rPr>
          <w:rFonts w:ascii="Century Gothic" w:hAnsi="Century Gothic"/>
          <w:sz w:val="20"/>
          <w:szCs w:val="20"/>
        </w:rPr>
        <w:t>Loss of Hole/General Penalty</w:t>
      </w:r>
    </w:p>
    <w:sectPr w:rsidR="008E6FF1" w:rsidRPr="007C7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5551"/>
    <w:multiLevelType w:val="hybridMultilevel"/>
    <w:tmpl w:val="DB0E43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17E1"/>
    <w:multiLevelType w:val="hybridMultilevel"/>
    <w:tmpl w:val="987C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1F50"/>
    <w:multiLevelType w:val="hybridMultilevel"/>
    <w:tmpl w:val="06B0F8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BA"/>
    <w:rsid w:val="007C7BCC"/>
    <w:rsid w:val="008E6FF1"/>
    <w:rsid w:val="00B1666D"/>
    <w:rsid w:val="00CA6775"/>
    <w:rsid w:val="00CE6BBA"/>
    <w:rsid w:val="00FA592C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3A0D"/>
  <w15:chartTrackingRefBased/>
  <w15:docId w15:val="{4F42032D-7B2D-440E-BC04-AB0C878D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B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Smith</dc:creator>
  <cp:keywords/>
  <dc:description/>
  <cp:lastModifiedBy>Dai Davies</cp:lastModifiedBy>
  <cp:revision>2</cp:revision>
  <dcterms:created xsi:type="dcterms:W3CDTF">2019-05-09T13:25:00Z</dcterms:created>
  <dcterms:modified xsi:type="dcterms:W3CDTF">2019-05-09T13:25:00Z</dcterms:modified>
</cp:coreProperties>
</file>